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spacing w:beforeLines="50"/>
        <w:jc w:val="center"/>
        <w:rPr>
          <w:rFonts w:hint="eastAsia"/>
          <w:kern w:val="0"/>
          <w:szCs w:val="21"/>
        </w:rPr>
      </w:pPr>
    </w:p>
    <w:p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hint="eastAsia" w:ascii="仿宋_GB2312" w:eastAsia="仿宋_GB2312"/>
          <w:b/>
          <w:kern w:val="0"/>
          <w:sz w:val="84"/>
          <w:szCs w:val="84"/>
        </w:rPr>
        <w:t>长沙理工大学</w:t>
      </w:r>
    </w:p>
    <w:p>
      <w:pPr>
        <w:spacing w:beforeLines="50"/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>研究生课程教学大纲</w:t>
      </w:r>
    </w:p>
    <w:p>
      <w:pPr>
        <w:jc w:val="center"/>
        <w:rPr>
          <w:rFonts w:hint="eastAsia" w:hAnsi="Symbol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仿宋_GB2312" w:eastAsia="仿宋_GB2312"/>
          <w:b/>
          <w:bCs/>
          <w:sz w:val="24"/>
          <w:szCs w:val="24"/>
        </w:rPr>
        <w:fldChar w:fldCharType="begin"/>
      </w:r>
      <w:r>
        <w:rPr>
          <w:rFonts w:ascii="仿宋_GB2312" w:eastAsia="仿宋_GB2312"/>
          <w:b/>
          <w:bCs/>
          <w:sz w:val="24"/>
          <w:szCs w:val="24"/>
        </w:rPr>
        <w:instrText xml:space="preserve"> </w:instrText>
      </w:r>
      <w:r>
        <w:rPr>
          <w:rFonts w:hint="eastAsia" w:ascii="仿宋_GB2312" w:eastAsia="仿宋_GB2312"/>
          <w:b/>
          <w:bCs/>
          <w:sz w:val="24"/>
          <w:szCs w:val="24"/>
        </w:rPr>
        <w:instrText xml:space="preserve">eq \o\ac(</w:instrText>
      </w:r>
      <w:r>
        <w:rPr>
          <w:rFonts w:hint="eastAsia" w:ascii="仿宋_GB2312" w:eastAsia="仿宋_GB2312"/>
          <w:b/>
          <w:bCs/>
          <w:position w:val="-4"/>
          <w:sz w:val="36"/>
          <w:szCs w:val="24"/>
        </w:rPr>
        <w:instrText xml:space="preserve">□</w:instrText>
      </w:r>
      <w:r>
        <w:rPr>
          <w:rFonts w:hint="eastAsia" w:ascii="仿宋_GB2312" w:eastAsia="仿宋_GB2312"/>
          <w:b/>
          <w:bCs/>
          <w:position w:val="0"/>
          <w:sz w:val="24"/>
          <w:szCs w:val="24"/>
        </w:rPr>
        <w:instrText xml:space="preserve">,√)</w:instrText>
      </w:r>
      <w:r>
        <w:rPr>
          <w:rFonts w:ascii="仿宋_GB2312" w:eastAsia="仿宋_GB2312"/>
          <w:b/>
          <w:bCs/>
          <w:sz w:val="24"/>
          <w:szCs w:val="24"/>
        </w:rPr>
        <w:fldChar w:fldCharType="separate"/>
      </w:r>
      <w:r>
        <w:rPr>
          <w:rFonts w:ascii="仿宋_GB2312" w:eastAsia="仿宋_GB2312"/>
          <w:b/>
          <w:bCs/>
          <w:sz w:val="24"/>
          <w:szCs w:val="24"/>
        </w:rPr>
        <w:fldChar w:fldCharType="end"/>
      </w:r>
      <w:r>
        <w:rPr>
          <w:rFonts w:hint="eastAsia" w:hAnsi="Symbol"/>
          <w:b/>
          <w:sz w:val="28"/>
          <w:szCs w:val="28"/>
        </w:rPr>
        <w:t>科学学</w:t>
      </w:r>
      <w:r>
        <w:rPr>
          <w:rFonts w:hint="eastAsia" w:ascii="宋体" w:hAnsi="宋体"/>
          <w:b/>
          <w:sz w:val="28"/>
          <w:szCs w:val="28"/>
        </w:rPr>
        <w:t>位  □</w:t>
      </w:r>
      <w:r>
        <w:rPr>
          <w:rFonts w:hint="eastAsia" w:hAnsi="Symbol"/>
          <w:b/>
          <w:sz w:val="28"/>
          <w:szCs w:val="28"/>
        </w:rPr>
        <w:t>专业学位）</w:t>
      </w:r>
    </w:p>
    <w:p>
      <w:pPr>
        <w:jc w:val="center"/>
        <w:rPr>
          <w:rFonts w:hAnsi="Symbol"/>
          <w:b/>
          <w:sz w:val="20"/>
          <w:u w:val="single"/>
        </w:rPr>
      </w:pPr>
    </w:p>
    <w:p/>
    <w:p/>
    <w:p/>
    <w:p/>
    <w:p/>
    <w:p/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hint="eastAsia" w:ascii="黑体" w:eastAsia="黑体"/>
          <w:b/>
          <w:sz w:val="32"/>
        </w:rPr>
        <w:t xml:space="preserve"> 课程名称 </w:t>
      </w:r>
      <w:r>
        <w:rPr>
          <w:rFonts w:hint="eastAsia" w:ascii="黑体" w:eastAsia="黑体"/>
          <w:bCs/>
          <w:sz w:val="32"/>
          <w:u w:val="single"/>
        </w:rPr>
        <w:t xml:space="preserve">  </w:t>
      </w:r>
      <w:r>
        <w:rPr>
          <w:rFonts w:hint="eastAsia" w:ascii="黑体" w:eastAsia="黑体"/>
          <w:bCs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Cs/>
          <w:sz w:val="30"/>
          <w:szCs w:val="30"/>
          <w:u w:val="single"/>
          <w:lang w:eastAsia="zh-CN"/>
        </w:rPr>
        <w:t>现代发酵工程</w:t>
      </w:r>
      <w:r>
        <w:rPr>
          <w:rFonts w:hint="eastAsia" w:ascii="黑体" w:eastAsia="黑体"/>
          <w:bCs/>
          <w:sz w:val="30"/>
          <w:szCs w:val="30"/>
          <w:u w:val="single"/>
        </w:rPr>
        <w:t>　　　　　　　　</w:t>
      </w:r>
      <w:r>
        <w:rPr>
          <w:rFonts w:hint="eastAsia" w:ascii="黑体" w:eastAsia="黑体"/>
          <w:bCs/>
          <w:sz w:val="32"/>
          <w:u w:val="single"/>
        </w:rPr>
        <w:t xml:space="preserve">     </w:t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ab/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 xml:space="preserve">           所在院（所、部）</w:t>
      </w:r>
      <w:r>
        <w:rPr>
          <w:rFonts w:hint="eastAsia" w:ascii="黑体" w:eastAsia="黑体"/>
          <w:bCs/>
          <w:sz w:val="32"/>
          <w:u w:val="single"/>
        </w:rPr>
        <w:t xml:space="preserve"> </w:t>
      </w:r>
      <w:r>
        <w:rPr>
          <w:rFonts w:hint="eastAsia" w:ascii="黑体" w:eastAsia="黑体"/>
          <w:bCs/>
          <w:sz w:val="32"/>
          <w:u w:val="single"/>
          <w:lang w:eastAsia="zh-CN"/>
        </w:rPr>
        <w:t>化学与生物工程学院</w:t>
      </w:r>
      <w:r>
        <w:rPr>
          <w:rFonts w:hint="eastAsia" w:ascii="黑体" w:eastAsia="黑体"/>
          <w:bCs/>
          <w:sz w:val="32"/>
          <w:u w:val="single"/>
        </w:rPr>
        <w:t xml:space="preserve">  </w:t>
      </w:r>
      <w:r>
        <w:rPr>
          <w:rFonts w:hint="eastAsia" w:ascii="黑体"/>
          <w:b/>
          <w:sz w:val="32"/>
          <w:u w:val="single"/>
        </w:rPr>
        <w:t>　　　　　</w:t>
      </w:r>
      <w:r>
        <w:rPr>
          <w:rFonts w:hint="eastAsia" w:ascii="黑体" w:eastAsia="黑体"/>
          <w:bCs/>
          <w:sz w:val="32"/>
          <w:u w:val="single"/>
        </w:rPr>
        <w:t xml:space="preserve">    </w:t>
      </w:r>
      <w:r>
        <w:rPr>
          <w:rFonts w:hint="eastAsia" w:ascii="黑体" w:eastAsia="黑体"/>
          <w:b/>
          <w:sz w:val="32"/>
        </w:rPr>
        <w:t xml:space="preserve"> </w:t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ab/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  <w:u w:val="single"/>
        </w:rPr>
      </w:pPr>
      <w:r>
        <w:rPr>
          <w:rFonts w:hint="eastAsia" w:ascii="黑体" w:eastAsia="黑体"/>
          <w:b/>
          <w:sz w:val="32"/>
        </w:rPr>
        <w:t xml:space="preserve">           学科点或课程组</w:t>
      </w:r>
      <w:r>
        <w:rPr>
          <w:rFonts w:hint="eastAsia" w:ascii="黑体" w:eastAsia="黑体"/>
          <w:bCs/>
          <w:sz w:val="32"/>
          <w:u w:val="single"/>
        </w:rPr>
        <w:t xml:space="preserve">   </w:t>
      </w:r>
      <w:r>
        <w:rPr>
          <w:rFonts w:hint="eastAsia" w:ascii="黑体" w:eastAsia="黑体"/>
          <w:bCs/>
          <w:sz w:val="32"/>
          <w:u w:val="single"/>
          <w:lang w:eastAsia="zh-CN"/>
        </w:rPr>
        <w:t>食品科学与工程</w:t>
      </w:r>
      <w:r>
        <w:rPr>
          <w:rFonts w:hint="eastAsia" w:ascii="黑体" w:eastAsia="黑体"/>
          <w:bCs/>
          <w:sz w:val="32"/>
          <w:u w:val="single"/>
        </w:rPr>
        <w:t xml:space="preserve">　　　　　　　 </w:t>
      </w:r>
      <w:r>
        <w:rPr>
          <w:rFonts w:hint="eastAsia" w:ascii="黑体"/>
          <w:b/>
          <w:sz w:val="32"/>
          <w:u w:val="single"/>
        </w:rPr>
        <w:t xml:space="preserve"> </w:t>
      </w:r>
    </w:p>
    <w:p>
      <w:pPr>
        <w:rPr>
          <w:rFonts w:hint="eastAsia"/>
        </w:rPr>
      </w:pPr>
    </w:p>
    <w:p/>
    <w:p/>
    <w:p/>
    <w:p/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2014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年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  <w:lang w:val="en-US" w:eastAsia="zh-CN"/>
        </w:rPr>
        <w:t>9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月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  <w:lang w:val="en-US" w:eastAsia="zh-CN"/>
        </w:rPr>
        <w:t>20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日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研究生教学大纲编制说明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本大纲要求按照规定模板编制。</w:t>
      </w: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大纲（电子版）内红色字体为说明内容，编制完成后应删除。</w:t>
      </w: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本大纲要求双面打印，在左侧装订。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一、课程基本信息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课程代码</w:t>
      </w:r>
      <w:r>
        <w:rPr>
          <w:rFonts w:hint="eastAsia"/>
          <w:b/>
          <w:sz w:val="24"/>
        </w:rPr>
        <w:t>：</w:t>
      </w:r>
      <w:r>
        <w:rPr>
          <w:rFonts w:hint="eastAsia" w:ascii="宋体" w:hAnsi="宋体"/>
          <w:sz w:val="24"/>
        </w:rPr>
        <w:t>0912044</w:t>
      </w: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</w:t>
      </w:r>
      <w:r>
        <w:rPr>
          <w:rFonts w:hint="eastAsia" w:ascii="宋体" w:hAnsi="宋体"/>
          <w:sz w:val="24"/>
          <w:lang w:eastAsia="zh-CN"/>
        </w:rPr>
        <w:t>现代发酵工程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英文名称：</w:t>
      </w:r>
      <w:r>
        <w:rPr>
          <w:rFonts w:ascii="宋体" w:hAnsi="宋体"/>
          <w:sz w:val="24"/>
        </w:rPr>
        <w:t>Modern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F</w:t>
      </w:r>
      <w:r>
        <w:rPr>
          <w:rFonts w:ascii="宋体" w:hAnsi="宋体"/>
          <w:sz w:val="24"/>
        </w:rPr>
        <w:t xml:space="preserve">ermentation </w:t>
      </w:r>
      <w:r>
        <w:rPr>
          <w:rFonts w:hint="eastAsia" w:ascii="宋体" w:hAnsi="宋体"/>
          <w:sz w:val="24"/>
          <w:lang w:val="en-US" w:eastAsia="zh-CN"/>
        </w:rPr>
        <w:t>E</w:t>
      </w:r>
      <w:r>
        <w:rPr>
          <w:rFonts w:ascii="宋体" w:hAnsi="宋体"/>
          <w:sz w:val="24"/>
        </w:rPr>
        <w:t>ngineering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课程类别：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专业选修课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>
        <w:rPr>
          <w:sz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32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 w:eastAsia="宋体" w:cs="宋体"/>
          <w:b w:val="0"/>
          <w:bCs/>
          <w:sz w:val="24"/>
          <w:lang w:val="en-US" w:eastAsia="zh-CN"/>
        </w:rPr>
      </w:pPr>
      <w:r>
        <w:rPr>
          <w:rFonts w:hint="eastAsia"/>
          <w:sz w:val="24"/>
        </w:rPr>
        <w:t>学　　分：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 xml:space="preserve"> 2</w:t>
      </w:r>
    </w:p>
    <w:p>
      <w:pPr>
        <w:widowControl/>
        <w:tabs>
          <w:tab w:val="left" w:pos="0"/>
        </w:tabs>
        <w:spacing w:line="360" w:lineRule="exact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适用对象: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 食品科学与工程专业硕士研究生</w:t>
      </w:r>
    </w:p>
    <w:p>
      <w:pPr>
        <w:widowControl/>
        <w:tabs>
          <w:tab w:val="left" w:pos="0"/>
        </w:tabs>
        <w:spacing w:line="360" w:lineRule="exact"/>
        <w:ind w:firstLine="480" w:firstLineChars="200"/>
        <w:rPr>
          <w:rFonts w:hint="eastAsia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考核方式：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考查（10%出勤率+30%课堂讨论+60%读书报告或课程论文）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先修课程：</w:t>
      </w:r>
      <w:r>
        <w:rPr>
          <w:rFonts w:hint="eastAsia" w:ascii="宋体" w:hAnsi="宋体"/>
          <w:sz w:val="24"/>
        </w:rPr>
        <w:t>食品工程原理、生物化学、微生物学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二、课程简介</w:t>
      </w:r>
    </w:p>
    <w:p>
      <w:pPr>
        <w:widowControl/>
        <w:spacing w:line="360" w:lineRule="exact"/>
        <w:ind w:firstLine="480" w:firstLineChars="20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本课程为食品科学与工程专业的专业一门重要的专业课，主要</w:t>
      </w:r>
      <w:r>
        <w:rPr>
          <w:rFonts w:hint="eastAsia" w:ascii="宋体" w:hAnsi="宋体"/>
          <w:sz w:val="24"/>
        </w:rPr>
        <w:t>以传统发酵技术和原理为基础，结合具体的发酵过程实例，着重介绍应用于食品工业的现代发酵工程技术，通过</w:t>
      </w:r>
      <w:r>
        <w:rPr>
          <w:rFonts w:ascii="宋体" w:hAnsi="宋体"/>
          <w:sz w:val="24"/>
        </w:rPr>
        <w:t>将</w:t>
      </w:r>
      <w:r>
        <w:rPr>
          <w:rFonts w:hint="eastAsia" w:ascii="宋体" w:hAnsi="宋体"/>
          <w:sz w:val="24"/>
        </w:rPr>
        <w:t>现代生物工程</w:t>
      </w:r>
      <w:r>
        <w:rPr>
          <w:rFonts w:ascii="宋体" w:hAnsi="宋体"/>
          <w:sz w:val="24"/>
        </w:rPr>
        <w:t>与发酵工业的操作原理结合起来，</w:t>
      </w:r>
      <w:r>
        <w:rPr>
          <w:rFonts w:hint="eastAsia" w:ascii="宋体" w:hAnsi="宋体"/>
          <w:sz w:val="24"/>
        </w:rPr>
        <w:t>介绍</w:t>
      </w:r>
      <w:r>
        <w:rPr>
          <w:rFonts w:ascii="宋体" w:hAnsi="宋体"/>
          <w:sz w:val="24"/>
        </w:rPr>
        <w:t>发酵工业控制的特性及共性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exact"/>
        <w:rPr>
          <w:rFonts w:hint="eastAsia"/>
          <w:sz w:val="24"/>
          <w:lang w:eastAsia="zh-CN"/>
        </w:rPr>
      </w:pPr>
    </w:p>
    <w:p>
      <w:pPr>
        <w:spacing w:line="360" w:lineRule="exact"/>
        <w:rPr>
          <w:rFonts w:hint="eastAsia" w:ascii="黑体" w:eastAsia="黑体"/>
          <w:color w:val="FF0000"/>
          <w:sz w:val="24"/>
        </w:rPr>
      </w:pPr>
      <w:r>
        <w:rPr>
          <w:rFonts w:hint="eastAsia" w:ascii="黑体" w:eastAsia="黑体"/>
          <w:sz w:val="28"/>
          <w:szCs w:val="28"/>
        </w:rPr>
        <w:t>三、课程性质与教学目的</w:t>
      </w:r>
    </w:p>
    <w:p>
      <w:pPr>
        <w:widowControl w:val="0"/>
        <w:wordWrap/>
        <w:adjustRightInd/>
        <w:snapToGrid/>
        <w:spacing w:before="0" w:after="0" w:line="360" w:lineRule="exact"/>
        <w:ind w:left="0" w:leftChars="0" w:right="0" w:firstLine="480" w:firstLineChars="200"/>
        <w:jc w:val="both"/>
        <w:textAlignment w:val="auto"/>
        <w:outlineLvl w:val="9"/>
        <w:rPr>
          <w:rFonts w:hint="eastAsia" w:ascii="黑体" w:eastAsia="黑体"/>
          <w:color w:val="FF0000"/>
          <w:sz w:val="24"/>
        </w:rPr>
      </w:pPr>
      <w:r>
        <w:rPr>
          <w:rFonts w:hint="eastAsia"/>
          <w:sz w:val="24"/>
          <w:lang w:eastAsia="zh-CN"/>
        </w:rPr>
        <w:t>本课程为非学位专业选修课。本课程教学目的</w:t>
      </w:r>
      <w:r>
        <w:rPr>
          <w:rFonts w:hint="eastAsia" w:ascii="宋体" w:hAnsi="宋体"/>
          <w:sz w:val="24"/>
          <w:lang w:eastAsia="zh-CN"/>
        </w:rPr>
        <w:t>使</w:t>
      </w:r>
      <w:r>
        <w:rPr>
          <w:rFonts w:hint="eastAsia" w:ascii="宋体" w:hAnsi="宋体"/>
          <w:sz w:val="24"/>
        </w:rPr>
        <w:t>学生掌握现代</w:t>
      </w:r>
      <w:r>
        <w:rPr>
          <w:rFonts w:ascii="宋体" w:hAnsi="宋体"/>
          <w:sz w:val="24"/>
        </w:rPr>
        <w:t>发酵</w:t>
      </w:r>
      <w:r>
        <w:rPr>
          <w:rFonts w:hint="eastAsia" w:ascii="宋体" w:hAnsi="宋体"/>
          <w:sz w:val="24"/>
        </w:rPr>
        <w:t>技术</w:t>
      </w:r>
      <w:r>
        <w:rPr>
          <w:rFonts w:ascii="宋体" w:hAnsi="宋体"/>
          <w:sz w:val="24"/>
        </w:rPr>
        <w:t>工艺流程</w:t>
      </w:r>
      <w:r>
        <w:rPr>
          <w:rFonts w:hint="eastAsia" w:ascii="宋体" w:hAnsi="宋体"/>
          <w:sz w:val="24"/>
        </w:rPr>
        <w:t>和过程优化、控制，了解用现代发酵工程新技术生产传统产品和新产品的方法</w:t>
      </w:r>
      <w:r>
        <w:rPr>
          <w:rFonts w:ascii="宋体" w:hAnsi="宋体"/>
          <w:sz w:val="24"/>
        </w:rPr>
        <w:t>，为今后从事</w:t>
      </w:r>
      <w:r>
        <w:rPr>
          <w:rFonts w:hint="eastAsia" w:ascii="宋体" w:hAnsi="宋体"/>
          <w:sz w:val="24"/>
        </w:rPr>
        <w:t>食品发酵相关</w:t>
      </w:r>
      <w:r>
        <w:rPr>
          <w:rFonts w:ascii="宋体" w:hAnsi="宋体"/>
          <w:sz w:val="24"/>
        </w:rPr>
        <w:t>科研和生产打下良好的基础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widowControl/>
        <w:spacing w:line="360" w:lineRule="exact"/>
        <w:ind w:firstLine="480" w:firstLineChars="200"/>
        <w:jc w:val="left"/>
        <w:rPr>
          <w:rFonts w:hint="eastAsia"/>
          <w:sz w:val="24"/>
          <w:lang w:eastAsia="zh-CN"/>
        </w:rPr>
      </w:pPr>
    </w:p>
    <w:p>
      <w:pPr>
        <w:tabs>
          <w:tab w:val="left" w:pos="0"/>
        </w:tabs>
        <w:spacing w:line="360" w:lineRule="exact"/>
        <w:rPr>
          <w:rFonts w:hint="eastAsia"/>
          <w:color w:val="FF0000"/>
        </w:rPr>
      </w:pPr>
      <w:r>
        <w:rPr>
          <w:rFonts w:hint="eastAsia" w:ascii="黑体" w:eastAsia="黑体"/>
          <w:sz w:val="28"/>
          <w:szCs w:val="28"/>
        </w:rPr>
        <w:t>四、教学时数分配</w:t>
      </w:r>
    </w:p>
    <w:tbl>
      <w:tblPr>
        <w:tblW w:w="8875" w:type="dxa"/>
        <w:jc w:val="center"/>
        <w:tblInd w:w="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95"/>
        <w:gridCol w:w="1080"/>
        <w:gridCol w:w="900"/>
        <w:gridCol w:w="900"/>
        <w:gridCol w:w="900"/>
      </w:tblGrid>
      <w:tr>
        <w:trPr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1943" w:firstLineChars="925"/>
              <w:rPr>
                <w:b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line id="_x0000_s2050" o:spid="_x0000_s1026" style="position:absolute;left:0;flip:x y;margin-left:47.6pt;margin-top:-0.45pt;height:75.55pt;width:201.75pt;rotation:0f;z-index:251658240;" o:ole="f" fillcolor="#FFFFFF" filled="f" o:preferrelative="t" stroked="t" coordsize="21600,21600" wrapcoords="-171 0 -171 260 21257 21600 21943 21600 343 0 -171 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/>
                <w:b/>
              </w:rPr>
              <w:t>教学环节</w:t>
            </w:r>
          </w:p>
          <w:p>
            <w:pPr>
              <w:pStyle w:val="2"/>
              <w:ind w:left="0" w:firstLine="843" w:firstLineChars="400"/>
              <w:jc w:val="center"/>
              <w:rPr>
                <w:b/>
              </w:rPr>
            </w:pPr>
          </w:p>
          <w:p>
            <w:pPr>
              <w:pStyle w:val="2"/>
              <w:ind w:left="359" w:leftChars="171" w:firstLine="422" w:firstLineChars="200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>
            <w:pPr>
              <w:pStyle w:val="2"/>
              <w:ind w:left="359" w:leftChars="171" w:firstLine="420" w:firstLineChars="200"/>
              <w:rPr>
                <w:b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line id="_x0000_s2051" o:spid="_x0000_s1027" style="position:absolute;left:0;flip:x y;margin-left:-4.35pt;margin-top:-0.15pt;height:28.45pt;width:253.7pt;rotation:0f;z-index:251659264;" o:ole="f" fillcolor="#FFFFFF" filled="f" o:preferrelative="t" stroked="t" coordsize="21600,21600" wrapcoords="-106 0 -106 514 20855 21600 21174 21600 21813 21600 21813 21086 1915 1029 426 0 -106 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</w:p>
          <w:p>
            <w:pPr>
              <w:pStyle w:val="2"/>
              <w:ind w:left="0"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>
            <w:pPr>
              <w:pStyle w:val="2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第一章  现代发酵工程概论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第二章  发酵动力学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第三章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4"/>
              </w:rPr>
              <w:t>发酵罐放大与设计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第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四</w:t>
            </w:r>
            <w:r>
              <w:rPr>
                <w:rFonts w:hint="eastAsia"/>
                <w:b w:val="0"/>
                <w:bCs w:val="0"/>
                <w:sz w:val="24"/>
              </w:rPr>
              <w:t xml:space="preserve">章 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发酵过程工艺控制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tabs>
                <w:tab w:val="left" w:pos="0"/>
              </w:tabs>
              <w:spacing w:line="360" w:lineRule="exac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第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五</w:t>
            </w:r>
            <w:r>
              <w:rPr>
                <w:rFonts w:hint="eastAsia"/>
                <w:b w:val="0"/>
                <w:bCs w:val="0"/>
                <w:sz w:val="24"/>
              </w:rPr>
              <w:t xml:space="preserve">章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现代发酵工程实例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</w:tr>
      <w:tr>
        <w:trPr>
          <w:trHeight w:val="510" w:hRule="atLeast"/>
          <w:jc w:val="center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0"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32</w:t>
            </w:r>
          </w:p>
        </w:tc>
      </w:tr>
    </w:tbl>
    <w:p>
      <w:pPr>
        <w:spacing w:line="360" w:lineRule="exact"/>
        <w:rPr>
          <w:rFonts w:ascii="黑体" w:eastAsia="黑体"/>
          <w:sz w:val="28"/>
          <w:szCs w:val="28"/>
        </w:rPr>
      </w:pPr>
    </w:p>
    <w:p>
      <w:pPr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spacing w:line="36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五、教学内容及要求</w:t>
      </w:r>
    </w:p>
    <w:p>
      <w:pPr>
        <w:spacing w:line="360" w:lineRule="exact"/>
        <w:ind w:left="6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第一章  现代发酵工程概论 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目的与要求</w:t>
      </w:r>
    </w:p>
    <w:p>
      <w:pPr>
        <w:numPr>
          <w:ilvl w:val="0"/>
          <w:numId w:val="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掌握现代发酵工程常用技术及其原理；</w:t>
      </w:r>
      <w:r>
        <w:rPr>
          <w:rFonts w:hint="eastAsia" w:ascii="宋体" w:hAnsi="宋体"/>
          <w:sz w:val="24"/>
        </w:rPr>
        <w:t xml:space="preserve">   </w:t>
      </w:r>
    </w:p>
    <w:p>
      <w:pPr>
        <w:numPr>
          <w:ilvl w:val="0"/>
          <w:numId w:val="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了解发酵工程的特点、地位和发展历史；</w:t>
      </w:r>
      <w:r>
        <w:rPr>
          <w:rFonts w:hint="eastAsia" w:ascii="宋体" w:hAnsi="宋体"/>
          <w:sz w:val="24"/>
        </w:rPr>
        <w:t xml:space="preserve"> </w:t>
      </w:r>
    </w:p>
    <w:p>
      <w:pPr>
        <w:numPr>
          <w:ilvl w:val="0"/>
          <w:numId w:val="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了解</w:t>
      </w:r>
      <w:r>
        <w:rPr>
          <w:rFonts w:hint="eastAsia" w:ascii="宋体" w:hAnsi="宋体"/>
          <w:sz w:val="24"/>
          <w:lang w:eastAsia="zh-CN"/>
        </w:rPr>
        <w:t>发酵工程在食品工业中的应用。</w:t>
      </w:r>
      <w:r>
        <w:rPr>
          <w:rFonts w:hint="eastAsia" w:ascii="宋体" w:hAnsi="宋体"/>
          <w:sz w:val="24"/>
        </w:rPr>
        <w:t xml:space="preserve">          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教学内容</w:t>
      </w:r>
    </w:p>
    <w:p>
      <w:pPr>
        <w:numPr>
          <w:ilvl w:val="0"/>
          <w:numId w:val="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现代发酵工程的概述、发展简史；</w:t>
      </w:r>
    </w:p>
    <w:p>
      <w:pPr>
        <w:numPr>
          <w:ilvl w:val="0"/>
          <w:numId w:val="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发酵工程基本原理和技术：菌种选育、发酵工业原料、无菌技术、氧的传递和运输、发酵工艺控制；</w:t>
      </w:r>
    </w:p>
    <w:p>
      <w:pPr>
        <w:numPr>
          <w:ilvl w:val="0"/>
          <w:numId w:val="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现代发酵工程与食品科学的关系及其在食品工业的应用。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思考与研究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设计一个从自然界中筛选高温α-淀粉酶产生菌的实验方案，并说明主要步骤及其基本原理。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请查阅相关文献，结合学科发展和国家需求，谈谈发酵工业的发展前景。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如何实现使微生物合成比自身需求多得多的产物？试举例说明。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如果纤维素酶的合成受反馈阻遏作用的调控，如何根据这一调控机制设计纤维素酶高产菌的选育方案？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某工厂现有一小型发酵罐，内装 10 m3发酵培养基，在121℃温度下进行实罐灭菌。如果每mL培养基中含有耐热细菌芽孢2×105个，121℃灭菌速度常数为0.02303 s-1。求灭菌失败概率为0.001时所需的灭菌时间为多少分钟。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为提高空气过滤除菌效率可采用哪些有效措施？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染菌对发酵有什么危害，对产物提取有什么危害？试从污染杂菌的种类分析发酵污染的原因？染菌以后应采取哪些措施？</w:t>
      </w:r>
    </w:p>
    <w:p>
      <w:pPr>
        <w:numPr>
          <w:ilvl w:val="0"/>
          <w:numId w:val="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什么是双膜理论？</w:t>
      </w:r>
    </w:p>
    <w:p>
      <w:pPr>
        <w:numPr>
          <w:numId w:val="0"/>
        </w:numPr>
        <w:spacing w:line="360" w:lineRule="exact"/>
        <w:ind w:left="1260" w:leftChars="0"/>
        <w:rPr>
          <w:rFonts w:hint="eastAsia" w:ascii="宋体" w:hAnsi="宋体"/>
          <w:sz w:val="24"/>
        </w:rPr>
      </w:pPr>
    </w:p>
    <w:p>
      <w:pPr>
        <w:spacing w:line="360" w:lineRule="exact"/>
        <w:ind w:left="540" w:leftChars="257" w:firstLine="118" w:firstLineChars="49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第二章  发酵动力学</w:t>
      </w:r>
    </w:p>
    <w:p>
      <w:pPr>
        <w:numPr>
          <w:ilvl w:val="0"/>
          <w:numId w:val="6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目的与要求</w:t>
      </w:r>
    </w:p>
    <w:p>
      <w:pPr>
        <w:numPr>
          <w:ilvl w:val="0"/>
          <w:numId w:val="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了解发酵动力学的研究内容和研究方法</w:t>
      </w:r>
      <w:r>
        <w:rPr>
          <w:rFonts w:hint="eastAsia" w:ascii="宋体" w:hAnsi="宋体"/>
          <w:sz w:val="24"/>
          <w:lang w:val="en-US" w:eastAsia="zh-CN"/>
        </w:rPr>
        <w:t>；</w:t>
      </w:r>
    </w:p>
    <w:p>
      <w:pPr>
        <w:numPr>
          <w:ilvl w:val="0"/>
          <w:numId w:val="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掌握MONOD方程，熟悉各类发酵动力学的数学模型及其参数的求解</w:t>
      </w:r>
      <w:r>
        <w:rPr>
          <w:rFonts w:hint="eastAsia" w:ascii="宋体" w:hAnsi="宋体"/>
          <w:sz w:val="24"/>
          <w:lang w:val="en-US" w:eastAsia="zh-CN"/>
        </w:rPr>
        <w:t>；</w:t>
      </w:r>
      <w:r>
        <w:rPr>
          <w:rFonts w:hint="eastAsia" w:ascii="宋体" w:hAnsi="宋体"/>
          <w:sz w:val="24"/>
        </w:rPr>
        <w:t xml:space="preserve">   </w:t>
      </w:r>
    </w:p>
    <w:p>
      <w:pPr>
        <w:numPr>
          <w:ilvl w:val="0"/>
          <w:numId w:val="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掌握微生物反应的质量能量衡算方法。</w:t>
      </w:r>
      <w:r>
        <w:rPr>
          <w:rFonts w:hint="eastAsia" w:ascii="宋体" w:hAnsi="宋体"/>
          <w:sz w:val="24"/>
        </w:rPr>
        <w:t xml:space="preserve">        </w:t>
      </w:r>
    </w:p>
    <w:p>
      <w:pPr>
        <w:numPr>
          <w:ilvl w:val="0"/>
          <w:numId w:val="6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教学内容</w:t>
      </w:r>
    </w:p>
    <w:p>
      <w:pPr>
        <w:numPr>
          <w:ilvl w:val="0"/>
          <w:numId w:val="8"/>
        </w:numPr>
        <w:spacing w:line="36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发酵动力学概论：定义、研究方法、描述和分类；</w:t>
      </w:r>
    </w:p>
    <w:p>
      <w:pPr>
        <w:numPr>
          <w:ilvl w:val="0"/>
          <w:numId w:val="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微生物反应的质量能量衡算</w:t>
      </w:r>
    </w:p>
    <w:p>
      <w:pPr>
        <w:numPr>
          <w:ilvl w:val="0"/>
          <w:numId w:val="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微生物生长代谢过程数学模型建立</w:t>
      </w:r>
    </w:p>
    <w:p>
      <w:pPr>
        <w:numPr>
          <w:ilvl w:val="0"/>
          <w:numId w:val="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微生物发酵动力学：分批发酵动力学、连续发酵动力学、补料分批发酵动力学制</w:t>
      </w:r>
    </w:p>
    <w:p>
      <w:pPr>
        <w:numPr>
          <w:ilvl w:val="0"/>
          <w:numId w:val="6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思考与研究</w: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试叙述单细胞微生物在液体培养时的生长规律（生长曲线的定义、各期的特点、原因、影响因素等），在发酵工业上如何根据微生物的生长规律指导生产降低成本。</w: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通过对最简单的封闭式分批发酵的微生物生长动力学、底物消耗动力学及产物合成动力学单独建立数学模型开始，找到三个动力学之间的联系。</w: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比较分批发酵、连续发酵和补料分批发酵的的优缺点。</w: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在一定条件下培养大肠杆菌，得到如下表数据。求该培养条件下大肠杆菌的最大比生长速率（μ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max</w:t>
      </w:r>
      <w:r>
        <w:rPr>
          <w:rFonts w:hint="eastAsia" w:ascii="宋体" w:hAnsi="宋体"/>
          <w:sz w:val="24"/>
          <w:lang w:eastAsia="zh-CN"/>
        </w:rPr>
        <w:t>）和饱和常数（K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S</w:t>
      </w:r>
      <w:r>
        <w:rPr>
          <w:rFonts w:hint="eastAsia" w:ascii="宋体" w:hAnsi="宋体"/>
          <w:sz w:val="24"/>
          <w:lang w:eastAsia="zh-CN"/>
        </w:rPr>
        <w:t>）。</w:t>
      </w:r>
    </w:p>
    <w:p>
      <w:pPr>
        <w:rPr>
          <w:rFonts w:hint="eastAsia"/>
        </w:rPr>
      </w:pPr>
    </w:p>
    <w:tbl>
      <w:tblPr>
        <w:tblW w:w="7346" w:type="dxa"/>
        <w:jc w:val="right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805"/>
        <w:gridCol w:w="873"/>
        <w:gridCol w:w="806"/>
        <w:gridCol w:w="900"/>
        <w:gridCol w:w="1014"/>
      </w:tblGrid>
      <w:tr>
        <w:trPr>
          <w:trHeight w:val="311" w:hRule="atLeast"/>
          <w:jc w:val="right"/>
        </w:trPr>
        <w:tc>
          <w:tcPr>
            <w:tcW w:w="294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限制性基质浓度S (mg/L)</w:t>
            </w:r>
          </w:p>
        </w:tc>
        <w:tc>
          <w:tcPr>
            <w:tcW w:w="805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873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806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160</w:t>
            </w:r>
          </w:p>
        </w:tc>
        <w:tc>
          <w:tcPr>
            <w:tcW w:w="1014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210</w:t>
            </w:r>
          </w:p>
        </w:tc>
      </w:tr>
      <w:tr>
        <w:trPr>
          <w:trHeight w:val="311" w:hRule="atLeast"/>
          <w:jc w:val="right"/>
        </w:trPr>
        <w:tc>
          <w:tcPr>
            <w:tcW w:w="294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比生长速率</w:t>
            </w:r>
            <w:r>
              <w:rPr>
                <w:sz w:val="24"/>
                <w:szCs w:val="24"/>
              </w:rPr>
              <w:t>μ</w:t>
            </w:r>
            <w:r>
              <w:rPr>
                <w:rFonts w:hint="eastAsia"/>
                <w:sz w:val="24"/>
                <w:szCs w:val="24"/>
              </w:rPr>
              <w:t xml:space="preserve"> （h</w:t>
            </w:r>
            <w:r>
              <w:rPr>
                <w:rFonts w:hint="eastAsia"/>
                <w:sz w:val="24"/>
                <w:szCs w:val="24"/>
                <w:vertAlign w:val="superscript"/>
              </w:rPr>
              <w:t>-1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05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0.10</w:t>
            </w:r>
          </w:p>
        </w:tc>
        <w:tc>
          <w:tcPr>
            <w:tcW w:w="873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0.40</w:t>
            </w:r>
          </w:p>
        </w:tc>
        <w:tc>
          <w:tcPr>
            <w:tcW w:w="806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0.55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0.65</w:t>
            </w:r>
          </w:p>
        </w:tc>
        <w:tc>
          <w:tcPr>
            <w:tcW w:w="1014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0.70</w:t>
            </w:r>
          </w:p>
        </w:tc>
      </w:tr>
    </w:tbl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提示：</w:t>
      </w:r>
      <w:r>
        <w:rPr>
          <w:rFonts w:ascii="Times New Roman" w:hAnsi="Times New Roman" w:eastAsia="宋体" w:cs="Times New Roman"/>
          <w:kern w:val="2"/>
          <w:position w:val="-30"/>
          <w:sz w:val="24"/>
          <w:szCs w:val="24"/>
          <w:lang w:val="en-US" w:eastAsia="zh-CN" w:bidi="ar-SA"/>
        </w:rPr>
        <w:object>
          <v:shape id="_x0000_s1028" type="#_x0000_t75" style="height:34pt;width:58.95pt;rotation:0f;" o:ole="t" fillcolor="#BBE0E3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28" DrawAspect="Content" ObjectID="_1027" r:id="rId5"/>
        </w:objec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乙醇为基质，好氧培养酵母，反应方程为：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+ aO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bNH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→ c(CH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1.75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0.15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0.5</w:t>
      </w:r>
      <w:r>
        <w:rPr>
          <w:rFonts w:ascii="Times New Roman" w:hAnsi="Times New Roman" w:cs="Times New Roman"/>
          <w:sz w:val="24"/>
          <w:szCs w:val="24"/>
        </w:rPr>
        <w:t>) + dCO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e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cs="Times New Roman"/>
          <w:sz w:val="24"/>
          <w:szCs w:val="24"/>
        </w:rPr>
        <w:t>，已知呼吸商等于</w:t>
      </w:r>
      <w:r>
        <w:rPr>
          <w:rFonts w:ascii="Times New Roman" w:hAnsi="Times New Roman" w:cs="Times New Roman"/>
          <w:sz w:val="24"/>
          <w:szCs w:val="24"/>
        </w:rPr>
        <w:t>0.6</w:t>
      </w:r>
      <w:r>
        <w:rPr>
          <w:rFonts w:ascii="Times New Roman" w:cs="Times New Roman"/>
          <w:sz w:val="24"/>
          <w:szCs w:val="24"/>
        </w:rPr>
        <w:t>，求各系数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cs="Times New Roman"/>
          <w:sz w:val="24"/>
          <w:szCs w:val="24"/>
        </w:rPr>
        <w:t>。</w:t>
      </w:r>
    </w:p>
    <w:p>
      <w:pPr>
        <w:numPr>
          <w:ilvl w:val="0"/>
          <w:numId w:val="9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简述描述发酵过程反应速度的参数及其动力学方程。</w:t>
      </w:r>
    </w:p>
    <w:p>
      <w:pPr>
        <w:numPr>
          <w:numId w:val="0"/>
        </w:numPr>
        <w:spacing w:line="360" w:lineRule="exact"/>
        <w:ind w:left="1260" w:leftChars="0"/>
        <w:rPr>
          <w:rFonts w:hint="eastAsia" w:ascii="宋体" w:hAnsi="宋体"/>
          <w:sz w:val="24"/>
          <w:lang w:eastAsia="zh-CN"/>
        </w:rPr>
      </w:pPr>
    </w:p>
    <w:p>
      <w:pPr>
        <w:spacing w:line="360" w:lineRule="exact"/>
        <w:ind w:left="540" w:leftChars="257" w:firstLine="118" w:firstLineChars="49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eastAsia="zh-CN"/>
        </w:rPr>
        <w:t>三</w:t>
      </w:r>
      <w:r>
        <w:rPr>
          <w:rFonts w:hint="eastAsia" w:ascii="宋体" w:hAnsi="宋体"/>
          <w:b/>
          <w:sz w:val="24"/>
        </w:rPr>
        <w:t>章  发酵罐放大与设计</w:t>
      </w:r>
    </w:p>
    <w:p>
      <w:pPr>
        <w:numPr>
          <w:ilvl w:val="0"/>
          <w:numId w:val="10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目的与要求</w:t>
      </w:r>
    </w:p>
    <w:p>
      <w:pPr>
        <w:numPr>
          <w:ilvl w:val="0"/>
          <w:numId w:val="11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了解反应器的选型和设计要点</w:t>
      </w:r>
      <w:r>
        <w:rPr>
          <w:rFonts w:hint="eastAsia" w:ascii="宋体" w:hAnsi="宋体"/>
          <w:sz w:val="24"/>
          <w:lang w:val="en-US" w:eastAsia="zh-CN"/>
        </w:rPr>
        <w:t>；</w:t>
      </w:r>
      <w:r>
        <w:rPr>
          <w:rFonts w:hint="eastAsia" w:ascii="宋体" w:hAnsi="宋体"/>
          <w:sz w:val="24"/>
        </w:rPr>
        <w:t xml:space="preserve">   </w:t>
      </w:r>
    </w:p>
    <w:p>
      <w:pPr>
        <w:numPr>
          <w:ilvl w:val="0"/>
          <w:numId w:val="11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了解常见发酵罐类型结构和特点</w:t>
      </w:r>
      <w:r>
        <w:rPr>
          <w:rFonts w:hint="eastAsia" w:ascii="宋体" w:hAnsi="宋体"/>
          <w:sz w:val="24"/>
          <w:lang w:val="en-US" w:eastAsia="zh-CN"/>
        </w:rPr>
        <w:t>；</w:t>
      </w:r>
    </w:p>
    <w:p>
      <w:pPr>
        <w:numPr>
          <w:ilvl w:val="0"/>
          <w:numId w:val="11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掌握发酵罐比拟放大的原理和方法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 xml:space="preserve">          </w:t>
      </w:r>
    </w:p>
    <w:p>
      <w:pPr>
        <w:numPr>
          <w:ilvl w:val="0"/>
          <w:numId w:val="10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教学内容</w:t>
      </w:r>
    </w:p>
    <w:p>
      <w:pPr>
        <w:numPr>
          <w:ilvl w:val="0"/>
          <w:numId w:val="12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反应器设计基础</w:t>
      </w:r>
    </w:p>
    <w:p>
      <w:pPr>
        <w:numPr>
          <w:ilvl w:val="0"/>
          <w:numId w:val="12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发酵罐的类型及结构</w:t>
      </w:r>
    </w:p>
    <w:p>
      <w:pPr>
        <w:numPr>
          <w:ilvl w:val="0"/>
          <w:numId w:val="12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发酵罐的比拟放大： 放大的目的和任务、放大准则、放大方法</w:t>
      </w:r>
    </w:p>
    <w:p>
      <w:pPr>
        <w:numPr>
          <w:ilvl w:val="0"/>
          <w:numId w:val="10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思考与研究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机械搅拌发酵罐中，搅拌器的搅拌作用是什么？搅拌转速的高低对不同种类微生物的生长、代谢有何影响？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什么是通用式发酵罐？机械搅拌发酵罐的基本结构包括哪些部件？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发酵罐的放大方法有哪些？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机械通风搅拌发酵罐的主要部件有哪些？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气升式发酵罐和自吸式发酵罐的原理。</w:t>
      </w:r>
    </w:p>
    <w:p>
      <w:pPr>
        <w:numPr>
          <w:ilvl w:val="0"/>
          <w:numId w:val="13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为什么需要发酵罐放大。</w:t>
      </w:r>
    </w:p>
    <w:p>
      <w:pPr>
        <w:numPr>
          <w:numId w:val="0"/>
        </w:numPr>
        <w:spacing w:line="360" w:lineRule="exact"/>
        <w:ind w:left="1260" w:leftChars="0"/>
        <w:rPr>
          <w:rFonts w:hint="eastAsia" w:ascii="宋体" w:hAnsi="宋体"/>
          <w:sz w:val="24"/>
        </w:rPr>
      </w:pPr>
    </w:p>
    <w:p>
      <w:pPr>
        <w:spacing w:line="360" w:lineRule="exact"/>
        <w:ind w:left="540" w:leftChars="257" w:firstLine="118" w:firstLineChars="49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eastAsia="zh-CN"/>
        </w:rPr>
        <w:t>四</w:t>
      </w:r>
      <w:r>
        <w:rPr>
          <w:rFonts w:hint="eastAsia" w:ascii="宋体" w:hAnsi="宋体"/>
          <w:b/>
          <w:sz w:val="24"/>
        </w:rPr>
        <w:t>章  发酵</w:t>
      </w:r>
      <w:r>
        <w:rPr>
          <w:rFonts w:hint="eastAsia" w:ascii="宋体" w:hAnsi="宋体"/>
          <w:b/>
          <w:sz w:val="24"/>
          <w:lang w:eastAsia="zh-CN"/>
        </w:rPr>
        <w:t>过程工艺控制</w:t>
      </w:r>
    </w:p>
    <w:p>
      <w:pPr>
        <w:numPr>
          <w:ilvl w:val="0"/>
          <w:numId w:val="1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目的与要求</w:t>
      </w:r>
    </w:p>
    <w:p>
      <w:pPr>
        <w:numPr>
          <w:ilvl w:val="0"/>
          <w:numId w:val="1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了解发酵过程中可在线检测的参数及其检测技术，了解发酵过程自动化控制过程；</w:t>
      </w:r>
    </w:p>
    <w:p>
      <w:pPr>
        <w:numPr>
          <w:ilvl w:val="0"/>
          <w:numId w:val="1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掌握发酵过程中温度、</w:t>
      </w:r>
      <w:r>
        <w:rPr>
          <w:rFonts w:hint="eastAsia" w:ascii="宋体" w:hAnsi="宋体"/>
          <w:sz w:val="24"/>
          <w:lang w:val="en-US" w:eastAsia="zh-CN"/>
        </w:rPr>
        <w:t>pH、基质浓度、溶氧、呼吸熵、泡沫等各参数对发酵过程的影响及控制技术；</w:t>
      </w:r>
    </w:p>
    <w:p>
      <w:pPr>
        <w:numPr>
          <w:ilvl w:val="0"/>
          <w:numId w:val="15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了解高密度发酵过程及其控制技术。</w:t>
      </w:r>
      <w:r>
        <w:rPr>
          <w:rFonts w:hint="eastAsia" w:ascii="宋体" w:hAnsi="宋体"/>
          <w:sz w:val="24"/>
        </w:rPr>
        <w:t xml:space="preserve">          </w:t>
      </w:r>
    </w:p>
    <w:p>
      <w:pPr>
        <w:numPr>
          <w:ilvl w:val="0"/>
          <w:numId w:val="1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教学内容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发酵过程控制概述及参数检测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温度对发酵的影响及其控制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pH对发酵的影响及其控制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泡沫对发酵的影响及其控制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CO</w:t>
      </w:r>
      <w:r>
        <w:rPr>
          <w:rFonts w:hint="eastAsia" w:ascii="宋体" w:hAnsi="宋体"/>
          <w:sz w:val="24"/>
          <w:vertAlign w:val="subscript"/>
          <w:lang w:eastAsia="zh-CN"/>
        </w:rPr>
        <w:t>2</w:t>
      </w:r>
      <w:r>
        <w:rPr>
          <w:rFonts w:hint="eastAsia" w:ascii="宋体" w:hAnsi="宋体"/>
          <w:sz w:val="24"/>
          <w:lang w:eastAsia="zh-CN"/>
        </w:rPr>
        <w:t>和呼吸商对发酵的影响及其控制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基质浓度对发酵的影响及补料控制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溶解氧对发酵的影响及其控制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高密度发酵及过程控制</w:t>
      </w:r>
    </w:p>
    <w:p>
      <w:pPr>
        <w:numPr>
          <w:ilvl w:val="0"/>
          <w:numId w:val="16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发酵过程自动化控制发酵过程</w:t>
      </w:r>
    </w:p>
    <w:p>
      <w:pPr>
        <w:numPr>
          <w:ilvl w:val="0"/>
          <w:numId w:val="14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思考与研究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温度对发酵有哪些影响？发酵过程温度的选择有什么依据？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在微生物培养过程中，引起pH 改变的原因有哪些？pH对发酵的影响表现在哪些方面？在实际生产中如何通过实验确定发酵的最佳pH？发酵过程的pH控制可以采取哪些措施？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发酵过程糖代谢、氮代谢有什么规律？ 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发酵过程为什么要补料？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发酵中泡沫形成的原因是什么？泡沫对发酵有哪些影响？</w:t>
      </w:r>
    </w:p>
    <w:p>
      <w:pPr>
        <w:numPr>
          <w:ilvl w:val="0"/>
          <w:numId w:val="17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影响微生物需氧的因素有哪些？如何调节摇瓶发酵的供氧水平？如何调节通气搅拌发酵罐的供氧水平？</w:t>
      </w:r>
    </w:p>
    <w:p>
      <w:pPr>
        <w:numPr>
          <w:numId w:val="0"/>
        </w:numPr>
        <w:spacing w:line="360" w:lineRule="exact"/>
        <w:ind w:left="1260" w:leftChars="0"/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spacing w:line="360" w:lineRule="exact"/>
        <w:ind w:left="540" w:leftChars="257" w:firstLine="118" w:firstLineChars="49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eastAsia="zh-CN"/>
        </w:rPr>
        <w:t>五</w:t>
      </w:r>
      <w:r>
        <w:rPr>
          <w:rFonts w:hint="eastAsia" w:ascii="宋体" w:hAnsi="宋体"/>
          <w:b/>
          <w:sz w:val="24"/>
        </w:rPr>
        <w:t xml:space="preserve">章 </w:t>
      </w:r>
      <w:r>
        <w:rPr>
          <w:rFonts w:hint="eastAsia" w:ascii="宋体" w:hAnsi="宋体"/>
          <w:b/>
          <w:bCs w:val="0"/>
          <w:sz w:val="24"/>
        </w:rPr>
        <w:t xml:space="preserve"> 现代发酵工程实例</w:t>
      </w:r>
    </w:p>
    <w:p>
      <w:pPr>
        <w:numPr>
          <w:ilvl w:val="0"/>
          <w:numId w:val="1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目的与要求</w:t>
      </w:r>
    </w:p>
    <w:p>
      <w:pPr>
        <w:numPr>
          <w:ilvl w:val="0"/>
          <w:numId w:val="1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了解微生物高密度培养技术；</w:t>
      </w:r>
      <w:r>
        <w:rPr>
          <w:rFonts w:hint="eastAsia" w:ascii="宋体" w:hAnsi="宋体"/>
          <w:sz w:val="24"/>
        </w:rPr>
        <w:t xml:space="preserve">   </w:t>
      </w:r>
    </w:p>
    <w:p>
      <w:pPr>
        <w:numPr>
          <w:ilvl w:val="0"/>
          <w:numId w:val="1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了解多菌种混合发酵技术；</w:t>
      </w:r>
      <w:r>
        <w:rPr>
          <w:rFonts w:hint="eastAsia" w:ascii="宋体" w:hAnsi="宋体"/>
          <w:sz w:val="24"/>
        </w:rPr>
        <w:t xml:space="preserve"> </w:t>
      </w:r>
    </w:p>
    <w:p>
      <w:pPr>
        <w:numPr>
          <w:ilvl w:val="0"/>
          <w:numId w:val="19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了解生物炼制及其研究进展。</w:t>
      </w:r>
      <w:r>
        <w:rPr>
          <w:rFonts w:hint="eastAsia" w:ascii="宋体" w:hAnsi="宋体"/>
          <w:sz w:val="24"/>
        </w:rPr>
        <w:t xml:space="preserve">          </w:t>
      </w:r>
    </w:p>
    <w:p>
      <w:pPr>
        <w:numPr>
          <w:ilvl w:val="0"/>
          <w:numId w:val="1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教学内容</w:t>
      </w:r>
    </w:p>
    <w:p>
      <w:pPr>
        <w:numPr>
          <w:ilvl w:val="0"/>
          <w:numId w:val="20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重组大肠杆菌的高密度培养及其控制</w:t>
      </w:r>
    </w:p>
    <w:p>
      <w:pPr>
        <w:numPr>
          <w:ilvl w:val="0"/>
          <w:numId w:val="20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格林定理在乳酸菌过滤培养最优化控制中的应用</w:t>
      </w:r>
    </w:p>
    <w:p>
      <w:pPr>
        <w:numPr>
          <w:ilvl w:val="0"/>
          <w:numId w:val="20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共固定化多菌种混合发酵生产保健食品</w:t>
      </w:r>
    </w:p>
    <w:p>
      <w:pPr>
        <w:numPr>
          <w:ilvl w:val="0"/>
          <w:numId w:val="20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生物炼制</w:t>
      </w:r>
    </w:p>
    <w:p>
      <w:pPr>
        <w:numPr>
          <w:ilvl w:val="0"/>
          <w:numId w:val="18"/>
        </w:num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思考与研究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查阅资料，综述生物炼制的研究进展。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利用格林定理求解流加培养 ( 发酵) 的最短时间轨道问题。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列举多菌种混合发酵的实例。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以你个人的理解谈谈发酵工程的学科地位和作用。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综述高密度培养技术在发酵工业中的应用。</w:t>
      </w:r>
    </w:p>
    <w:p>
      <w:pPr>
        <w:numPr>
          <w:ilvl w:val="0"/>
          <w:numId w:val="21"/>
        </w:numPr>
        <w:spacing w:line="36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举例说明现代发酵工程在食品工业中的重要作用。</w:t>
      </w:r>
    </w:p>
    <w:p>
      <w:pPr>
        <w:spacing w:line="360" w:lineRule="exact"/>
        <w:ind w:left="5432" w:hanging="5432" w:hangingChars="1940"/>
        <w:rPr>
          <w:rFonts w:hint="eastAsia" w:ascii="宋体" w:hAnsi="宋体"/>
          <w:sz w:val="24"/>
          <w:lang w:eastAsia="zh-CN"/>
        </w:rPr>
      </w:pPr>
    </w:p>
    <w:p>
      <w:pPr>
        <w:spacing w:line="360" w:lineRule="exact"/>
        <w:ind w:left="5432" w:hanging="5432" w:hangingChars="194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六、推荐教材和教学参考资源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（一）推荐教材</w:t>
      </w:r>
    </w:p>
    <w:p>
      <w:pPr>
        <w:ind w:firstLine="315" w:firstLineChars="15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[1].</w:t>
      </w:r>
      <w:r>
        <w:rPr>
          <w:rFonts w:hint="eastAsia" w:ascii="宋体" w:hAnsi="宋体"/>
          <w:sz w:val="24"/>
        </w:rPr>
        <w:t>余龙江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发酵工程原理与技术应用</w:t>
      </w:r>
      <w:r>
        <w:rPr>
          <w:rFonts w:hint="eastAsia" w:ascii="宋体" w:hAnsi="宋体"/>
          <w:sz w:val="24"/>
          <w:szCs w:val="24"/>
          <w:lang w:val="en-US" w:eastAsia="zh-CN"/>
        </w:rPr>
        <w:t>.北京：</w:t>
      </w:r>
      <w:r>
        <w:rPr>
          <w:rFonts w:hint="eastAsia" w:ascii="宋体" w:hAnsi="宋体"/>
          <w:sz w:val="24"/>
        </w:rPr>
        <w:t>化学工业出版社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2006</w:t>
      </w:r>
    </w:p>
    <w:p>
      <w:pPr>
        <w:ind w:firstLine="315" w:firstLineChars="15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[2].李艳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发酵工程原理与技术</w:t>
      </w:r>
      <w:r>
        <w:rPr>
          <w:rFonts w:hint="eastAsia" w:ascii="宋体" w:hAnsi="宋体"/>
          <w:sz w:val="24"/>
          <w:szCs w:val="24"/>
          <w:lang w:val="en-US" w:eastAsia="zh-CN"/>
        </w:rPr>
        <w:t>.北京：高等教育出版社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2007</w:t>
      </w:r>
    </w:p>
    <w:p>
      <w:pPr>
        <w:spacing w:line="360" w:lineRule="exact"/>
        <w:rPr>
          <w:rFonts w:hint="eastAsia" w:ascii="黑体" w:eastAsia="黑体"/>
          <w:color w:val="FF6600"/>
          <w:sz w:val="24"/>
        </w:rPr>
      </w:pPr>
      <w:r>
        <w:rPr>
          <w:rFonts w:hint="eastAsia" w:ascii="宋体" w:hAnsi="宋体"/>
          <w:sz w:val="24"/>
        </w:rPr>
        <w:t>（二）阅读书目</w:t>
      </w:r>
      <w:r>
        <w:rPr>
          <w:rFonts w:hint="eastAsia" w:ascii="黑体" w:eastAsia="黑体"/>
          <w:sz w:val="24"/>
        </w:rPr>
        <w:t xml:space="preserve"> </w:t>
      </w:r>
      <w:r>
        <w:rPr>
          <w:rFonts w:hint="eastAsia" w:ascii="黑体" w:eastAsia="黑体"/>
          <w:color w:val="FF6600"/>
          <w:sz w:val="24"/>
        </w:rPr>
        <w:t xml:space="preserve"> </w:t>
      </w:r>
    </w:p>
    <w:p>
      <w:pPr>
        <w:ind w:firstLine="315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[1].</w:t>
      </w:r>
      <w:r>
        <w:rPr>
          <w:rStyle w:val="7"/>
          <w:rFonts w:ascii="Arial" w:hAnsi="Arial" w:cs="Arial"/>
          <w:color w:val="auto"/>
          <w:sz w:val="24"/>
        </w:rPr>
        <w:t>曹卫军</w:t>
      </w:r>
      <w:r>
        <w:rPr>
          <w:rStyle w:val="7"/>
          <w:rFonts w:hint="eastAsia" w:ascii="Arial" w:hAnsi="Arial" w:cs="Arial"/>
          <w:color w:val="auto"/>
          <w:sz w:val="24"/>
        </w:rPr>
        <w:t>等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. </w:t>
      </w:r>
      <w:r>
        <w:rPr>
          <w:rStyle w:val="7"/>
          <w:rFonts w:ascii="Arial" w:hAnsi="Arial" w:cs="Arial"/>
          <w:color w:val="auto"/>
          <w:sz w:val="24"/>
        </w:rPr>
        <w:t>微生物工程</w:t>
      </w:r>
      <w:r>
        <w:rPr>
          <w:rFonts w:hint="eastAsia" w:ascii="宋体" w:hAnsi="宋体"/>
          <w:sz w:val="24"/>
          <w:szCs w:val="24"/>
          <w:lang w:val="en-US" w:eastAsia="zh-CN"/>
        </w:rPr>
        <w:t>.北京：</w:t>
      </w:r>
      <w:r>
        <w:rPr>
          <w:rFonts w:ascii="Arial" w:hAnsi="Arial" w:cs="Arial"/>
          <w:sz w:val="24"/>
        </w:rPr>
        <w:t>科学出版社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2008</w:t>
      </w:r>
    </w:p>
    <w:p>
      <w:pPr>
        <w:ind w:firstLine="315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[2].</w:t>
      </w:r>
      <w:r>
        <w:rPr>
          <w:rFonts w:hint="eastAsia" w:ascii="Arial" w:hAnsi="Arial" w:cs="Arial"/>
          <w:sz w:val="24"/>
        </w:rPr>
        <w:t>田洪涛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sz w:val="24"/>
        </w:rPr>
        <w:t>现代发酵工艺原理与技术</w:t>
      </w:r>
      <w:r>
        <w:rPr>
          <w:rFonts w:hint="eastAsia" w:ascii="宋体" w:hAnsi="宋体"/>
          <w:sz w:val="24"/>
          <w:szCs w:val="24"/>
          <w:lang w:val="en-US" w:eastAsia="zh-CN"/>
        </w:rPr>
        <w:t>.北京：</w:t>
      </w:r>
      <w:r>
        <w:rPr>
          <w:rFonts w:hint="eastAsia" w:ascii="宋体" w:hAnsi="宋体"/>
          <w:sz w:val="24"/>
        </w:rPr>
        <w:t>化学工业出版社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2007</w:t>
      </w:r>
    </w:p>
    <w:p>
      <w:pPr>
        <w:ind w:firstLine="315" w:firstLineChars="15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[3].</w:t>
      </w:r>
      <w:r>
        <w:rPr>
          <w:rStyle w:val="7"/>
          <w:rFonts w:hint="eastAsia" w:ascii="Arial" w:hAnsi="Arial" w:cs="Arial"/>
          <w:color w:val="auto"/>
          <w:sz w:val="24"/>
        </w:rPr>
        <w:t>史仲平</w:t>
      </w:r>
      <w:r>
        <w:rPr>
          <w:rStyle w:val="7"/>
          <w:rFonts w:hint="eastAsia" w:ascii="Arial" w:hAnsi="Arial" w:cs="Arial"/>
          <w:color w:val="auto"/>
          <w:sz w:val="24"/>
          <w:lang w:eastAsia="zh-CN"/>
        </w:rPr>
        <w:t>等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sz w:val="24"/>
        </w:rPr>
        <w:t>发酵过程解析、控制与检测技术</w:t>
      </w:r>
      <w:r>
        <w:rPr>
          <w:rFonts w:hint="eastAsia" w:ascii="Arial" w:hAnsi="Arial" w:cs="Arial"/>
          <w:sz w:val="24"/>
          <w:lang w:eastAsia="zh-CN"/>
        </w:rPr>
        <w:t>（第2版）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北京：</w:t>
      </w:r>
      <w:r>
        <w:rPr>
          <w:sz w:val="24"/>
        </w:rPr>
        <w:t>化学工业出版社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2010</w:t>
      </w:r>
    </w:p>
    <w:p>
      <w:pPr>
        <w:ind w:firstLine="315" w:firstLineChars="15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[4].</w:t>
      </w:r>
      <w:r>
        <w:rPr>
          <w:rFonts w:hint="eastAsia" w:ascii="宋体" w:hAnsi="宋体"/>
          <w:sz w:val="24"/>
        </w:rPr>
        <w:t>姚汝华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 xml:space="preserve">微生物工程工艺原理. </w:t>
      </w:r>
      <w:r>
        <w:rPr>
          <w:rFonts w:hint="eastAsia" w:ascii="宋体" w:hAnsi="宋体"/>
          <w:sz w:val="24"/>
          <w:lang w:eastAsia="zh-CN"/>
        </w:rPr>
        <w:t>广州：</w:t>
      </w:r>
      <w:r>
        <w:rPr>
          <w:rFonts w:hint="eastAsia" w:ascii="宋体" w:hAnsi="宋体"/>
          <w:sz w:val="24"/>
        </w:rPr>
        <w:t>华南理工大学出版社</w:t>
      </w:r>
      <w:r>
        <w:rPr>
          <w:rFonts w:hint="eastAsia" w:ascii="宋体" w:hAnsi="宋体"/>
          <w:sz w:val="24"/>
          <w:lang w:val="en-US" w:eastAsia="zh-CN"/>
        </w:rPr>
        <w:t>,2005</w:t>
      </w:r>
    </w:p>
    <w:p>
      <w:pPr>
        <w:ind w:firstLine="315" w:firstLineChars="15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[5].</w:t>
      </w:r>
      <w:r>
        <w:rPr>
          <w:rFonts w:hint="eastAsia" w:ascii="宋体" w:hAnsi="宋体"/>
          <w:sz w:val="24"/>
        </w:rPr>
        <w:t>诸葛斌等.</w:t>
      </w:r>
      <w:r>
        <w:rPr>
          <w:rFonts w:hint="eastAsia" w:ascii="Arial" w:hAnsi="Arial" w:cs="Arial"/>
          <w:sz w:val="24"/>
        </w:rPr>
        <w:t>现代发酵微生物实验技术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北京：</w:t>
      </w:r>
      <w:r>
        <w:rPr>
          <w:sz w:val="24"/>
        </w:rPr>
        <w:t>化学工业出版社</w:t>
      </w:r>
      <w:r>
        <w:rPr>
          <w:rFonts w:hint="eastAsia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2011</w:t>
      </w:r>
    </w:p>
    <w:p>
      <w:pPr>
        <w:ind w:firstLine="315" w:firstLineChars="15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[6].</w:t>
      </w:r>
      <w:r>
        <w:rPr>
          <w:rFonts w:ascii="宋体" w:hAnsi="宋体"/>
          <w:sz w:val="24"/>
        </w:rPr>
        <w:t xml:space="preserve">Peter F. Stanbury, </w:t>
      </w:r>
      <w:r>
        <w:rPr>
          <w:rFonts w:hint="eastAsia" w:ascii="宋体" w:hAnsi="宋体"/>
          <w:sz w:val="24"/>
          <w:lang w:val="en-US" w:eastAsia="zh-CN"/>
        </w:rPr>
        <w:t>et al</w:t>
      </w:r>
      <w:r>
        <w:rPr>
          <w:rFonts w:ascii="宋体" w:hAnsi="宋体"/>
          <w:sz w:val="24"/>
        </w:rPr>
        <w:t>. Principles of Fermentation Technology. (2nd  Edition)</w:t>
      </w:r>
      <w:r>
        <w:rPr>
          <w:rFonts w:hint="eastAsia" w:ascii="宋体" w:hAnsi="宋体"/>
          <w:sz w:val="24"/>
          <w:lang w:val="en-US" w:eastAsia="zh-CN"/>
        </w:rPr>
        <w:t>. USA: Butterworth-Heinemann Ltd,1998</w:t>
      </w:r>
      <w:r>
        <w:rPr>
          <w:rFonts w:ascii="宋体" w:hAnsi="宋体"/>
          <w:sz w:val="24"/>
        </w:rPr>
        <w:br/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（三）学习网站</w:t>
      </w:r>
    </w:p>
    <w:p>
      <w:pPr>
        <w:ind w:firstLine="315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长沙理工大学数字图书馆（</w:t>
      </w:r>
      <w:r>
        <w:rPr>
          <w:rFonts w:hAnsi="宋体"/>
          <w:sz w:val="24"/>
        </w:rPr>
        <w:fldChar w:fldCharType="begin"/>
      </w:r>
      <w:r>
        <w:rPr>
          <w:rFonts w:hAnsi="宋体"/>
          <w:sz w:val="24"/>
        </w:rPr>
        <w:instrText xml:space="preserve"> HYPERLINK "http://www.csust.edu.cn/pub/tsg/sjzy/index.html" </w:instrText>
      </w:r>
      <w:r>
        <w:rPr>
          <w:rFonts w:hAnsi="宋体"/>
          <w:sz w:val="24"/>
        </w:rPr>
        <w:fldChar w:fldCharType="separate"/>
      </w:r>
      <w:r>
        <w:rPr>
          <w:rStyle w:val="8"/>
          <w:rFonts w:hAnsi="宋体"/>
          <w:sz w:val="24"/>
        </w:rPr>
        <w:t>http://www.csust.edu.cn/pub/tsg/sjzy/index.html</w:t>
      </w:r>
      <w:r>
        <w:rPr>
          <w:rFonts w:hAnsi="宋体"/>
          <w:sz w:val="24"/>
        </w:rPr>
        <w:fldChar w:fldCharType="end"/>
      </w:r>
      <w:r>
        <w:rPr>
          <w:rFonts w:hint="eastAsia" w:hAnsi="宋体"/>
          <w:sz w:val="24"/>
        </w:rPr>
        <w:t>）</w:t>
      </w:r>
    </w:p>
    <w:p>
      <w:pPr>
        <w:ind w:firstLine="315" w:firstLineChars="150"/>
        <w:rPr>
          <w:rFonts w:hint="eastAsia" w:hAnsi="宋体" w:eastAsia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中国知网（</w:t>
      </w:r>
      <w:r>
        <w:rPr>
          <w:rFonts w:hAnsi="宋体"/>
          <w:sz w:val="24"/>
        </w:rPr>
        <w:fldChar w:fldCharType="begin"/>
      </w:r>
      <w:r>
        <w:rPr>
          <w:rStyle w:val="8"/>
          <w:rFonts w:hAnsi="宋体"/>
          <w:sz w:val="24"/>
        </w:rPr>
        <w:instrText xml:space="preserve"> HYPERLINK "http://www.cnki.net" </w:instrText>
      </w:r>
      <w:r>
        <w:rPr>
          <w:rFonts w:hAnsi="宋体"/>
          <w:sz w:val="24"/>
        </w:rPr>
        <w:fldChar w:fldCharType="separate"/>
      </w:r>
      <w:r>
        <w:rPr>
          <w:rStyle w:val="8"/>
          <w:rFonts w:hAnsi="宋体"/>
          <w:sz w:val="24"/>
        </w:rPr>
        <w:t>http://</w:t>
      </w:r>
      <w:r>
        <w:rPr>
          <w:rStyle w:val="8"/>
          <w:rFonts w:hint="eastAsia" w:hAnsi="宋体"/>
          <w:sz w:val="24"/>
          <w:lang w:eastAsia="zh-CN"/>
        </w:rPr>
        <w:t>www.cnki.net</w:t>
      </w:r>
      <w:r>
        <w:rPr>
          <w:rFonts w:hAnsi="宋体"/>
          <w:sz w:val="24"/>
        </w:rPr>
        <w:fldChar w:fldCharType="end"/>
      </w:r>
      <w:r>
        <w:rPr>
          <w:rFonts w:hint="eastAsia" w:hAnsi="宋体"/>
          <w:sz w:val="24"/>
          <w:lang w:eastAsia="zh-CN"/>
        </w:rPr>
        <w:t>）</w:t>
      </w:r>
    </w:p>
    <w:p>
      <w:pPr>
        <w:numPr>
          <w:numId w:val="0"/>
        </w:numPr>
        <w:spacing w:line="360" w:lineRule="exact"/>
        <w:rPr>
          <w:rFonts w:hint="eastAsia" w:ascii="宋体" w:hAnsi="宋体"/>
          <w:sz w:val="24"/>
        </w:rPr>
      </w:pPr>
    </w:p>
    <w:p>
      <w:pPr>
        <w:spacing w:line="360" w:lineRule="exact"/>
        <w:ind w:left="5432" w:hanging="5432" w:hangingChars="1940"/>
        <w:rPr>
          <w:rFonts w:hint="eastAsia" w:ascii="黑体" w:eastAsia="黑体"/>
          <w:color w:val="FF0000"/>
          <w:sz w:val="24"/>
        </w:rPr>
      </w:pPr>
      <w:r>
        <w:rPr>
          <w:rFonts w:hint="eastAsia" w:ascii="黑体" w:eastAsia="黑体"/>
          <w:sz w:val="28"/>
          <w:szCs w:val="28"/>
        </w:rPr>
        <w:t>七、其他说明</w:t>
      </w:r>
      <w:r>
        <w:rPr>
          <w:rFonts w:hint="eastAsia" w:ascii="黑体" w:eastAsia="黑体"/>
          <w:color w:val="FF0000"/>
          <w:sz w:val="24"/>
        </w:rPr>
        <w:t xml:space="preserve">      </w:t>
      </w:r>
    </w:p>
    <w:p>
      <w:pPr>
        <w:spacing w:line="360" w:lineRule="exact"/>
        <w:ind w:left="4656" w:hanging="4656" w:hangingChars="1940"/>
        <w:rPr>
          <w:rFonts w:ascii="宋体" w:hAnsi="宋体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大纲编制人： </w:t>
      </w:r>
      <w:r>
        <w:rPr>
          <w:rFonts w:hint="eastAsia" w:ascii="宋体" w:hAnsi="宋体"/>
          <w:sz w:val="24"/>
          <w:lang w:eastAsia="zh-CN"/>
        </w:rPr>
        <w:t>王发祥</w:t>
      </w: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编制日期：</w:t>
      </w:r>
      <w:r>
        <w:rPr>
          <w:sz w:val="24"/>
        </w:rPr>
        <w:t>2014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9</w:t>
      </w:r>
      <w:r>
        <w:rPr>
          <w:rFonts w:hAnsi="宋体"/>
          <w:sz w:val="24"/>
        </w:rPr>
        <w:t>月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大纲审定人(学科负责人)：</w:t>
      </w:r>
      <w:r>
        <w:rPr>
          <w:rFonts w:hint="eastAsia" w:ascii="宋体" w:hAnsi="宋体"/>
          <w:sz w:val="24"/>
          <w:lang w:eastAsia="zh-CN"/>
        </w:rPr>
        <w:t>刘永乐</w:t>
      </w:r>
      <w:r>
        <w:rPr>
          <w:rFonts w:hint="eastAsia" w:ascii="宋体" w:hAnsi="宋体"/>
          <w:sz w:val="24"/>
        </w:rPr>
        <w:t xml:space="preserve">          审定日期：</w:t>
      </w:r>
      <w:r>
        <w:rPr>
          <w:sz w:val="24"/>
        </w:rPr>
        <w:t>2014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9</w:t>
      </w:r>
      <w:r>
        <w:rPr>
          <w:rFonts w:hAnsi="宋体"/>
          <w:sz w:val="24"/>
        </w:rPr>
        <w:t>月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exact"/>
        <w:ind w:firstLine="538" w:firstLineChars="192"/>
        <w:rPr>
          <w:rFonts w:hint="eastAsia" w:ascii="宋体" w:hAnsi="宋体" w:eastAsia="仿宋_GB2312"/>
          <w:color w:val="FF0000"/>
          <w:sz w:val="24"/>
          <w:szCs w:val="28"/>
        </w:rPr>
      </w:pPr>
      <w:r>
        <w:rPr>
          <w:rFonts w:hint="eastAsia" w:ascii="宋体" w:hAnsi="宋体"/>
          <w:color w:val="FF0000"/>
          <w:sz w:val="24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Wingdings 2">
    <w:altName w:val="Wingdings"/>
    <w:panose1 w:val="05020102010507070707"/>
    <w:charset w:val="02"/>
    <w:family w:val="auto"/>
    <w:pitch w:val="default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mbria Math">
    <w:altName w:val="Palatino Linotype"/>
    <w:panose1 w:val="02040503050406030204"/>
    <w:charset w:val="00"/>
    <w:family w:val="auto"/>
    <w:pitch w:val="default"/>
    <w:sig w:usb0="E00002FF" w:usb1="420024FF" w:usb2="00000000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昆仑仿宋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立体宋体-10Point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entury">
    <w:altName w:val="GulimChe"/>
    <w:panose1 w:val="02040603050705020303"/>
    <w:charset w:val="00"/>
    <w:family w:val="auto"/>
    <w:pitch w:val="default"/>
    <w:sig w:usb0="00000003" w:usb1="00000000" w:usb2="00000000" w:usb3="00000000" w:csb0="000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宋体-18030">
    <w:altName w:val="微软雅黑"/>
    <w:panose1 w:val="02010609060101010101"/>
    <w:charset w:val="86"/>
    <w:family w:val="auto"/>
    <w:pitch w:val="default"/>
    <w:sig w:usb0="800022A7" w:usb1="880F3C78" w:usb2="000A005E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1308060">
    <w:nsid w:val="541EDA1C"/>
    <w:multiLevelType w:val="multilevel"/>
    <w:tmpl w:val="541EDA1C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6794">
    <w:nsid w:val="541ED52A"/>
    <w:multiLevelType w:val="multilevel"/>
    <w:tmpl w:val="541ED52A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4295">
    <w:nsid w:val="541ECB67"/>
    <w:multiLevelType w:val="multilevel"/>
    <w:tmpl w:val="541ECB67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82960256">
    <w:nsid w:val="2EAB0680"/>
    <w:multiLevelType w:val="multilevel"/>
    <w:tmpl w:val="2EAB0680"/>
    <w:lvl w:ilvl="0" w:tentative="1">
      <w:start w:val="1"/>
      <w:numFmt w:val="japaneseCounting"/>
      <w:lvlText w:val="（%1）"/>
      <w:lvlJc w:val="left"/>
      <w:pPr>
        <w:tabs>
          <w:tab w:val="left" w:pos="1260"/>
        </w:tabs>
        <w:ind w:left="1260" w:hanging="72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96104455">
    <w:nsid w:val="3B5F5907"/>
    <w:multiLevelType w:val="multilevel"/>
    <w:tmpl w:val="3B5F5907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59522547">
    <w:nsid w:val="3F2707F3"/>
    <w:multiLevelType w:val="multilevel"/>
    <w:tmpl w:val="3F2707F3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8047">
    <w:nsid w:val="541EDA0F"/>
    <w:multiLevelType w:val="multilevel"/>
    <w:tmpl w:val="541EDA0F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20885">
    <w:nsid w:val="00D777B5"/>
    <w:multiLevelType w:val="multilevel"/>
    <w:tmpl w:val="00D777B5"/>
    <w:lvl w:ilvl="0" w:tentative="1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3426">
    <w:nsid w:val="541EC802"/>
    <w:multiLevelType w:val="multilevel"/>
    <w:tmpl w:val="541EC802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78685">
    <w:nsid w:val="541FEDFD"/>
    <w:multiLevelType w:val="multilevel"/>
    <w:tmpl w:val="541FEDFD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6729">
    <w:nsid w:val="541ED4E9"/>
    <w:multiLevelType w:val="multilevel"/>
    <w:tmpl w:val="541ED4E9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9361">
    <w:nsid w:val="541EDF31"/>
    <w:multiLevelType w:val="multilevel"/>
    <w:tmpl w:val="541EDF31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9090">
    <w:nsid w:val="541EDE22"/>
    <w:multiLevelType w:val="multilevel"/>
    <w:tmpl w:val="541EDE22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304318">
    <w:nsid w:val="541ECB7E"/>
    <w:multiLevelType w:val="multilevel"/>
    <w:tmpl w:val="541ECB7E"/>
    <w:lvl w:ilvl="0" w:tentative="1">
      <w:start w:val="1"/>
      <w:numFmt w:val="decimal"/>
      <w:lvlText w:val="%1．"/>
      <w:lvlJc w:val="left"/>
      <w:pPr>
        <w:tabs>
          <w:tab w:val="left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4120885"/>
    <w:lvlOverride w:ilvl="0">
      <w:startOverride w:val="1"/>
    </w:lvlOverride>
  </w:num>
  <w:num w:numId="2">
    <w:abstractNumId w:val="782960256"/>
    <w:lvlOverride w:ilvl="0">
      <w:startOverride w:val="1"/>
    </w:lvlOverride>
  </w:num>
  <w:num w:numId="3">
    <w:abstractNumId w:val="1059522547"/>
    <w:lvlOverride w:ilvl="0">
      <w:startOverride w:val="1"/>
    </w:lvlOverride>
  </w:num>
  <w:num w:numId="4">
    <w:abstractNumId w:val="996104455"/>
  </w:num>
  <w:num w:numId="5">
    <w:abstractNumId w:val="1411303426"/>
  </w:num>
  <w:num w:numId="6">
    <w:abstractNumId w:val="782960256"/>
    <w:lvlOverride w:ilvl="0">
      <w:startOverride w:val="1"/>
    </w:lvlOverride>
  </w:num>
  <w:num w:numId="7">
    <w:abstractNumId w:val="1059522547"/>
    <w:lvlOverride w:ilvl="0">
      <w:startOverride w:val="1"/>
    </w:lvlOverride>
  </w:num>
  <w:num w:numId="8">
    <w:abstractNumId w:val="1411304295"/>
  </w:num>
  <w:num w:numId="9">
    <w:abstractNumId w:val="1411304318"/>
  </w:num>
  <w:num w:numId="10">
    <w:abstractNumId w:val="782960256"/>
    <w:lvlOverride w:ilvl="0">
      <w:startOverride w:val="1"/>
    </w:lvlOverride>
  </w:num>
  <w:num w:numId="11">
    <w:abstractNumId w:val="1059522547"/>
    <w:lvlOverride w:ilvl="0">
      <w:startOverride w:val="1"/>
    </w:lvlOverride>
  </w:num>
  <w:num w:numId="12">
    <w:abstractNumId w:val="1411306729"/>
  </w:num>
  <w:num w:numId="13">
    <w:abstractNumId w:val="1411306794"/>
  </w:num>
  <w:num w:numId="14">
    <w:abstractNumId w:val="782960256"/>
    <w:lvlOverride w:ilvl="0">
      <w:startOverride w:val="1"/>
    </w:lvlOverride>
  </w:num>
  <w:num w:numId="15">
    <w:abstractNumId w:val="1411308047"/>
  </w:num>
  <w:num w:numId="16">
    <w:abstractNumId w:val="1411378685"/>
  </w:num>
  <w:num w:numId="17">
    <w:abstractNumId w:val="1411308060"/>
  </w:num>
  <w:num w:numId="18">
    <w:abstractNumId w:val="782960256"/>
    <w:lvlOverride w:ilvl="0">
      <w:startOverride w:val="1"/>
    </w:lvlOverride>
  </w:num>
  <w:num w:numId="19">
    <w:abstractNumId w:val="1059522547"/>
    <w:lvlOverride w:ilvl="0">
      <w:startOverride w:val="1"/>
    </w:lvlOverride>
  </w:num>
  <w:num w:numId="20">
    <w:abstractNumId w:val="1411309090"/>
  </w:num>
  <w:num w:numId="21">
    <w:abstractNumId w:val="14113093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ody Text Indent"/>
    <w:basedOn w:val="1"/>
    <w:link w:val="11"/>
    <w:unhideWhenUsed/>
    <w:uiPriority w:val="0"/>
    <w:pPr>
      <w:ind w:left="363" w:hanging="363" w:hangingChars="173"/>
    </w:p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nhideWhenUsed/>
    <w:uiPriority w:val="0"/>
    <w:rPr/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9">
    <w:name w:val="页眉 Char Char"/>
    <w:basedOn w:val="5"/>
    <w:link w:val="4"/>
    <w:uiPriority w:val="99"/>
    <w:rPr>
      <w:sz w:val="18"/>
      <w:szCs w:val="18"/>
    </w:rPr>
  </w:style>
  <w:style w:type="character" w:customStyle="1" w:styleId="10">
    <w:name w:val="页脚 Char Char"/>
    <w:basedOn w:val="5"/>
    <w:link w:val="3"/>
    <w:uiPriority w:val="99"/>
    <w:rPr>
      <w:sz w:val="18"/>
      <w:szCs w:val="18"/>
    </w:rPr>
  </w:style>
  <w:style w:type="character" w:customStyle="1" w:styleId="11">
    <w:name w:val="正文文本缩进 Char Char"/>
    <w:basedOn w:val="5"/>
    <w:link w:val="2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oleObject" Target="embeddings/oleObject1.bin"/><Relationship Id="rId6" Type="http://schemas.openxmlformats.org/officeDocument/2006/relationships/image" Target="media/image1.wmf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227</Words>
  <Characters>1298</Characters>
  <Lines>10</Lines>
  <Paragraphs>3</Paragraphs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2014-09-17T02:33:00Z</dcterms:created>
  <dc:creator>微软用户</dc:creator>
  <cp:lastModifiedBy>Administrator</cp:lastModifiedBy>
  <dcterms:modified xsi:type="dcterms:W3CDTF">2014-09-22T10:37:57Z</dcterms:modified>
  <dc:title>    长沙理工大学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